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7E" w:rsidRPr="00EA21AD" w:rsidRDefault="00013E1A" w:rsidP="00261DD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Fehlerabschä</w:t>
      </w:r>
      <w:r w:rsidR="00532BB4">
        <w:rPr>
          <w:b/>
          <w:sz w:val="28"/>
          <w:szCs w:val="28"/>
        </w:rPr>
        <w:t>tzungen</w:t>
      </w:r>
    </w:p>
    <w:p w:rsidR="0072349A" w:rsidRDefault="0072349A" w:rsidP="00261DD7">
      <w:pPr>
        <w:spacing w:line="360" w:lineRule="auto"/>
      </w:pPr>
    </w:p>
    <w:p w:rsidR="00DF3C7E" w:rsidRPr="0016782D" w:rsidRDefault="00DF3C7E" w:rsidP="00261DD7">
      <w:pPr>
        <w:spacing w:line="360" w:lineRule="auto"/>
        <w:rPr>
          <w:rFonts w:eastAsiaTheme="minorEastAsia"/>
          <w:i/>
        </w:rPr>
      </w:pPr>
      <w:r w:rsidRPr="0016782D">
        <w:rPr>
          <w:i/>
        </w:rPr>
        <w:t>Wir betrachten die Folge</w:t>
      </w:r>
      <m:oMath>
        <m:r>
          <w:rPr>
            <w:rFonts w:ascii="Cambria Math" w:hAnsi="Cambria Math"/>
          </w:rPr>
          <m:t xml:space="preserve">  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 w:rsidRPr="0016782D">
        <w:rPr>
          <w:i/>
        </w:rPr>
        <w:t xml:space="preserve">: </w:t>
      </w:r>
      <w:r w:rsidRPr="0016782D">
        <w:rPr>
          <w:i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e>
            <m:sub>
              <m:r>
                <w:rPr>
                  <w:rFonts w:ascii="Cambria Math" w:hAnsi="Cambria Math"/>
                </w:rPr>
                <m:t>n&gt;0</m:t>
              </m:r>
            </m:sub>
          </m:sSub>
          <m:r>
            <w:rPr>
              <w:rFonts w:ascii="Cambria Math" w:hAnsi="Cambria Math"/>
            </w:rPr>
            <m:t>, die gegen den Grenzwert-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konvergiert.</m:t>
          </m:r>
        </m:oMath>
      </m:oMathPara>
    </w:p>
    <w:p w:rsidR="00DF3C7E" w:rsidRPr="0016782D" w:rsidRDefault="00DF3C7E" w:rsidP="00261DD7">
      <w:pPr>
        <w:spacing w:line="360" w:lineRule="auto"/>
        <w:rPr>
          <w:rFonts w:eastAsiaTheme="minorEastAsia"/>
          <w:i/>
        </w:rPr>
      </w:pPr>
      <w:r w:rsidRPr="0016782D">
        <w:rPr>
          <w:rFonts w:eastAsiaTheme="minorEastAsia"/>
          <w:i/>
        </w:rPr>
        <w:t xml:space="preserve">Wir möchten wissen, ab welchem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</w:rPr>
          <m:t>∈N</m:t>
        </m:r>
      </m:oMath>
      <w:r w:rsidRPr="0016782D">
        <w:rPr>
          <w:rFonts w:eastAsiaTheme="minorEastAsia"/>
          <w:i/>
        </w:rPr>
        <w:t xml:space="preserve"> </w:t>
      </w:r>
      <w:r w:rsidR="0016782D" w:rsidRPr="0016782D">
        <w:rPr>
          <w:rFonts w:eastAsiaTheme="minorEastAsia"/>
          <w:i/>
        </w:rPr>
        <w:t xml:space="preserve">die Folgeglieder einen Abstand zum Grenzwert haben, der kleiner als </w:t>
      </w:r>
      <m:oMath>
        <m:r>
          <w:rPr>
            <w:rFonts w:ascii="Cambria Math" w:eastAsiaTheme="minorEastAsia" w:hAnsi="Cambria Math"/>
          </w:rPr>
          <m:t>ϵ=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</m:oMath>
      <w:r w:rsidR="0016782D" w:rsidRPr="0016782D">
        <w:rPr>
          <w:rFonts w:eastAsiaTheme="minorEastAsia"/>
          <w:i/>
        </w:rPr>
        <w:t xml:space="preserve"> ist.</w:t>
      </w:r>
    </w:p>
    <w:p w:rsidR="0016782D" w:rsidRDefault="0016782D" w:rsidP="00261DD7">
      <w:pPr>
        <w:spacing w:line="360" w:lineRule="auto"/>
      </w:pPr>
    </w:p>
    <w:p w:rsidR="0072349A" w:rsidRDefault="00DF3C7E" w:rsidP="00261DD7">
      <w:pPr>
        <w:spacing w:line="360" w:lineRule="auto"/>
      </w:pPr>
      <w:r>
        <w:t>Das Abschätzen der Konvergenzgeschwindigkeit machen wir mit demselben Prinzip wie bei dem Nachweis von Monotonie und Beschränktheit:</w:t>
      </w:r>
    </w:p>
    <w:p w:rsidR="007F7A9B" w:rsidRDefault="00DF3C7E" w:rsidP="00261DD7">
      <w:pPr>
        <w:pStyle w:val="Listenabsatz"/>
        <w:numPr>
          <w:ilvl w:val="0"/>
          <w:numId w:val="1"/>
        </w:numPr>
        <w:spacing w:before="240" w:line="360" w:lineRule="auto"/>
      </w:pPr>
      <w:r>
        <w:t xml:space="preserve">Wir schreiben die </w:t>
      </w:r>
      <w:r w:rsidRPr="00EA21AD">
        <w:rPr>
          <w:b/>
        </w:rPr>
        <w:t>definierende Eigenschaft</w:t>
      </w:r>
      <w:r>
        <w:t xml:space="preserve"> </w:t>
      </w:r>
      <w:r w:rsidR="0016782D">
        <w:t xml:space="preserve">in mathematischer Formelsprache </w:t>
      </w:r>
      <w:r>
        <w:t>auf:</w:t>
      </w:r>
    </w:p>
    <w:p w:rsidR="007F7A9B" w:rsidRDefault="00DF3C7E" w:rsidP="007F7A9B">
      <w:pPr>
        <w:pStyle w:val="Listenabsatz"/>
        <w:spacing w:before="240" w:line="360" w:lineRule="auto"/>
      </w:pPr>
      <w:r>
        <w:br/>
      </w: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-(-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)</m:t>
              </m:r>
            </m:e>
          </m:d>
          <m:r>
            <w:rPr>
              <w:rFonts w:ascii="Cambria Math" w:hAnsi="Cambria Math"/>
            </w:rPr>
            <m:t>&lt;ϵ</m:t>
          </m:r>
          <m:r>
            <w:rPr>
              <w:rFonts w:ascii="Cambria Math" w:eastAsiaTheme="minorEastAsia" w:hAnsi="Cambria Math"/>
            </w:rPr>
            <m:t xml:space="preserve">    ⟺    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&lt;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</m:oMath>
      </m:oMathPara>
    </w:p>
    <w:p w:rsidR="005D312E" w:rsidRPr="005D312E" w:rsidRDefault="002A300F" w:rsidP="007F7A9B">
      <w:pPr>
        <w:pStyle w:val="Listenabsatz"/>
        <w:spacing w:before="240" w:line="360" w:lineRule="auto"/>
      </w:pPr>
      <w:r>
        <w:br/>
        <w:t xml:space="preserve">Der Betrag berechnet den Abstand – und der soll kleiner als </w:t>
      </w:r>
      <m:oMath>
        <m:r>
          <w:rPr>
            <w:rFonts w:ascii="Cambria Math" w:eastAsiaTheme="minorEastAsia" w:hAnsi="Cambria Math"/>
          </w:rPr>
          <m:t>ϵ=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</m:oMath>
      <w:r>
        <w:t xml:space="preserve"> sein.</w:t>
      </w:r>
    </w:p>
    <w:p w:rsidR="00EA21AD" w:rsidRPr="00636F4E" w:rsidRDefault="005D312E" w:rsidP="00261DD7">
      <w:pPr>
        <w:pStyle w:val="Listenabsatz"/>
        <w:numPr>
          <w:ilvl w:val="0"/>
          <w:numId w:val="1"/>
        </w:numPr>
        <w:spacing w:before="240" w:line="360" w:lineRule="auto"/>
      </w:pPr>
      <w:r>
        <w:rPr>
          <w:rFonts w:eastAsiaTheme="minorEastAsia"/>
        </w:rPr>
        <w:t xml:space="preserve">Wir formen den Ausdruck mit </w:t>
      </w:r>
      <w:r w:rsidRPr="00EA21AD">
        <w:rPr>
          <w:rFonts w:eastAsiaTheme="minorEastAsia"/>
          <w:b/>
        </w:rPr>
        <w:t>Äquivalenzumformungen</w:t>
      </w:r>
      <w:r>
        <w:rPr>
          <w:rFonts w:eastAsiaTheme="minorEastAsia"/>
        </w:rPr>
        <w:t xml:space="preserve"> so lange um, bis wir das </w:t>
      </w:r>
      <w:r w:rsidRPr="002A300F">
        <w:rPr>
          <w:rFonts w:eastAsiaTheme="minorEastAsia"/>
          <w:i/>
        </w:rPr>
        <w:t>n</w:t>
      </w:r>
      <w:r>
        <w:rPr>
          <w:rFonts w:eastAsiaTheme="minorEastAsia"/>
        </w:rPr>
        <w:t xml:space="preserve"> alleine auf einer Seite stehen haben. Dann wissen wir, dass das gefundene </w:t>
      </w:r>
      <w:r w:rsidRPr="005B1A21">
        <w:rPr>
          <w:rFonts w:eastAsiaTheme="minorEastAsia"/>
          <w:i/>
        </w:rPr>
        <w:t>n</w:t>
      </w:r>
      <w:r>
        <w:rPr>
          <w:rFonts w:eastAsiaTheme="minorEastAsia"/>
        </w:rPr>
        <w:t xml:space="preserve"> genau die Bedingung erfüllt, von der wir ausgegangen sind:</w:t>
      </w:r>
    </w:p>
    <w:p w:rsidR="00636F4E" w:rsidRPr="00EA21AD" w:rsidRDefault="00636F4E" w:rsidP="00636F4E">
      <w:pPr>
        <w:pStyle w:val="Listenabsatz"/>
        <w:spacing w:before="240" w:line="360" w:lineRule="auto"/>
      </w:pPr>
    </w:p>
    <w:p w:rsidR="00DF3C7E" w:rsidRDefault="000568A1" w:rsidP="00261DD7">
      <w:pPr>
        <w:pStyle w:val="Listenabsatz"/>
        <w:spacing w:line="480" w:lineRule="auto"/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/>
            </w:rPr>
            <m:t>&lt;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</m:oMath>
        <w:r w:rsidR="005D312E" w:rsidRPr="00EA21AD">
          <w:rPr>
            <w:rFonts w:eastAsiaTheme="minorEastAsia"/>
          </w:rPr>
          <w:br/>
        </w: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/>
            </w:rPr>
            <m:t>&lt;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  <m:r>
            <w:rPr>
              <w:rFonts w:ascii="Cambria Math" w:eastAsiaTheme="minorEastAsia" w:hAnsi="Cambria Math"/>
            </w:rPr>
            <m:t xml:space="preserve">       , weil n&gt;0 Betragstiche weglassen</m:t>
          </m:r>
        </m:oMath>
        <w:r w:rsidR="005D312E" w:rsidRPr="00EA21AD">
          <w:rPr>
            <w:rFonts w:eastAsiaTheme="minorEastAsia"/>
          </w:rPr>
          <w:br/>
        </w: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&lt;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 xml:space="preserve">     |⋅100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  <w:r w:rsidR="005D312E" w:rsidRPr="00EA21AD">
          <w:rPr>
            <w:rFonts w:eastAsiaTheme="minorEastAsia"/>
          </w:rPr>
          <w:br/>
        </w:r>
        <m:oMath>
          <m:r>
            <w:rPr>
              <w:rFonts w:ascii="Cambria Math" w:hAnsi="Cambria Math"/>
            </w:rPr>
            <m:t>150&lt;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   |√</m:t>
          </m:r>
        </m:oMath>
        <w:r w:rsidR="005D312E" w:rsidRPr="00EA21AD">
          <w:rPr>
            <w:rFonts w:eastAsiaTheme="minorEastAsia"/>
          </w:rPr>
          <w:br/>
        </w:r>
        <m:oMath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150</m:t>
              </m:r>
            </m:e>
          </m:rad>
          <m:r>
            <w:rPr>
              <w:rFonts w:ascii="Cambria Math" w:hAnsi="Cambria Math"/>
            </w:rPr>
            <m:t>&lt;n</m:t>
          </m:r>
        </m:oMath>
        <w:r w:rsidR="00EA21AD">
          <w:rPr>
            <w:rFonts w:eastAsiaTheme="minorEastAsia"/>
          </w:rPr>
          <w:br/>
        </w:r>
        <m:oMath>
          <m:r>
            <w:rPr>
              <w:rFonts w:ascii="Cambria Math" w:hAnsi="Cambria Math"/>
            </w:rPr>
            <m:t>12,247…&lt;n</m:t>
          </m:r>
          <m:r>
            <w:rPr>
              <w:rFonts w:ascii="Cambria Math" w:hAnsi="Cambria Math"/>
            </w:rPr>
            <m:t xml:space="preserve">     </m:t>
          </m:r>
          <m:r>
            <w:rPr>
              <w:rFonts w:ascii="Cambria Math" w:eastAsiaTheme="minorEastAsia" w:hAnsi="Cambria Math"/>
            </w:rPr>
            <m:t>⟺     n&gt;12,2474…</m:t>
          </m:r>
        </m:oMath>
      </m:oMathPara>
    </w:p>
    <w:p w:rsidR="00EA21AD" w:rsidRDefault="00EA21AD" w:rsidP="00261DD7">
      <w:pPr>
        <w:pStyle w:val="Listenabsatz"/>
        <w:numPr>
          <w:ilvl w:val="0"/>
          <w:numId w:val="1"/>
        </w:numPr>
        <w:spacing w:line="360" w:lineRule="auto"/>
      </w:pPr>
      <w:r w:rsidRPr="00EA21AD">
        <w:rPr>
          <w:b/>
          <w:noProof/>
          <w:lang w:eastAsia="de-DE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1500505</wp:posOffset>
            </wp:positionH>
            <wp:positionV relativeFrom="paragraph">
              <wp:posOffset>470535</wp:posOffset>
            </wp:positionV>
            <wp:extent cx="2625090" cy="2333625"/>
            <wp:effectExtent l="19050" t="0" r="3810" b="0"/>
            <wp:wrapTight wrapText="bothSides">
              <wp:wrapPolygon edited="0">
                <wp:start x="-157" y="0"/>
                <wp:lineTo x="-157" y="21512"/>
                <wp:lineTo x="21631" y="21512"/>
                <wp:lineTo x="21631" y="0"/>
                <wp:lineTo x="-157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21AD">
        <w:rPr>
          <w:b/>
        </w:rPr>
        <w:t>Interpretation</w:t>
      </w:r>
      <w:r>
        <w:t>: Man kann nachweisen, dass die Folge streng monoton fallend und nach unten beschränkt ist (die Grafik ist kein Nachweis, nur eine Veranschaulichung):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261DD7">
        <w:br/>
      </w:r>
      <w:r w:rsidR="00261DD7">
        <w:br/>
      </w:r>
      <w:r>
        <w:t>Damit wissen wir, dass sich die Folgeglieder von oben her dem Grenzwert annähern und jedes Folgeglied näher beim Grenzwert liegt als sein Vorgänger. Also liegen ab dem ersten Folgeglied, da</w:t>
      </w:r>
      <w:r w:rsidR="00F814BC">
        <w:t xml:space="preserve">s einen Abstand von weniger als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 w:rsidR="00261DD7">
        <w:rPr>
          <w:rFonts w:eastAsiaTheme="minorEastAsia"/>
        </w:rPr>
        <w:t xml:space="preserve"> zum Grenzwert hat, alle Folgeglieder nahe genug beim Grenzwert.</w:t>
      </w:r>
      <w:r w:rsidR="00261DD7">
        <w:rPr>
          <w:rFonts w:eastAsiaTheme="minorEastAsia"/>
        </w:rPr>
        <w:br/>
        <w:t xml:space="preserve">Das gesuchte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261DD7">
        <w:rPr>
          <w:rFonts w:eastAsiaTheme="minorEastAsia"/>
        </w:rPr>
        <w:t xml:space="preserve"> ist also 13 (da das 12te Folgeglied noch nicht nahe genug beim Grenzwert liegt).</w:t>
      </w:r>
    </w:p>
    <w:sectPr w:rsidR="00EA21AD" w:rsidSect="00BF65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65F36"/>
    <w:multiLevelType w:val="hybridMultilevel"/>
    <w:tmpl w:val="D18442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D29BE"/>
    <w:multiLevelType w:val="hybridMultilevel"/>
    <w:tmpl w:val="494A1916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2349A"/>
    <w:rsid w:val="00013E1A"/>
    <w:rsid w:val="000568A1"/>
    <w:rsid w:val="0016782D"/>
    <w:rsid w:val="001C3A64"/>
    <w:rsid w:val="00211C1C"/>
    <w:rsid w:val="00261DD7"/>
    <w:rsid w:val="002874F8"/>
    <w:rsid w:val="002A300F"/>
    <w:rsid w:val="003546B4"/>
    <w:rsid w:val="00402E31"/>
    <w:rsid w:val="004726AF"/>
    <w:rsid w:val="00532BB4"/>
    <w:rsid w:val="005B1A21"/>
    <w:rsid w:val="005D312E"/>
    <w:rsid w:val="00636F4E"/>
    <w:rsid w:val="006E225A"/>
    <w:rsid w:val="006F792E"/>
    <w:rsid w:val="0072349A"/>
    <w:rsid w:val="007F7A9B"/>
    <w:rsid w:val="00845A64"/>
    <w:rsid w:val="00911814"/>
    <w:rsid w:val="00A31648"/>
    <w:rsid w:val="00BF6515"/>
    <w:rsid w:val="00D10F42"/>
    <w:rsid w:val="00DE604B"/>
    <w:rsid w:val="00DF3C7E"/>
    <w:rsid w:val="00E930ED"/>
    <w:rsid w:val="00EA21AD"/>
    <w:rsid w:val="00F814BC"/>
    <w:rsid w:val="00FD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65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3C7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F3C7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3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3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Graz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99mayer</dc:creator>
  <cp:keywords/>
  <dc:description/>
  <cp:lastModifiedBy>99mayer</cp:lastModifiedBy>
  <cp:revision>13</cp:revision>
  <dcterms:created xsi:type="dcterms:W3CDTF">2010-07-01T14:02:00Z</dcterms:created>
  <dcterms:modified xsi:type="dcterms:W3CDTF">2010-07-02T14:49:00Z</dcterms:modified>
</cp:coreProperties>
</file>